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5" w:rsidRPr="00345B4B" w:rsidRDefault="00CE58A5" w:rsidP="00F352D0">
      <w:pPr>
        <w:autoSpaceDE w:val="0"/>
        <w:autoSpaceDN w:val="0"/>
        <w:adjustRightInd w:val="0"/>
        <w:rPr>
          <w:b/>
          <w:bCs/>
          <w:noProof w:val="0"/>
        </w:rPr>
      </w:pPr>
      <w:bookmarkStart w:id="0" w:name="_GoBack"/>
      <w:bookmarkEnd w:id="0"/>
      <w:r w:rsidRPr="00345B4B">
        <w:rPr>
          <w:b/>
          <w:bCs/>
          <w:noProof w:val="0"/>
        </w:rPr>
        <w:t xml:space="preserve">Document prepared by and </w:t>
      </w:r>
    </w:p>
    <w:p w:rsidR="00CE58A5" w:rsidRPr="00345B4B" w:rsidRDefault="00CE58A5" w:rsidP="00F352D0">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CE58A5" w:rsidRPr="00345B4B"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 xml:space="preserve">EASEMENTS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345B4B">
        <w:rPr>
          <w:i/>
          <w:sz w:val="24"/>
          <w:szCs w:val="24"/>
        </w:rPr>
        <w:t>PROVIDE ENTITY TYPE AND STATE OF FORMATION, IF APPLICABLE</w:t>
      </w:r>
      <w:r w:rsidR="00702EAA" w:rsidRPr="00345B4B">
        <w:rPr>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345B4B">
        <w:rPr>
          <w:i/>
          <w:noProof w:val="0"/>
          <w:sz w:val="24"/>
          <w:szCs w:val="24"/>
        </w:rPr>
        <w:t>INSERT INSTRUMENT NO. OR DEED BOOK AND PAGE</w:t>
      </w:r>
      <w:r w:rsidR="00702EAA" w:rsidRPr="00345B4B">
        <w:rPr>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345B4B">
        <w:rPr>
          <w:noProof w:val="0"/>
          <w:sz w:val="24"/>
          <w:szCs w:val="24"/>
        </w:rPr>
        <w:t>[</w:t>
      </w:r>
      <w:r w:rsidR="00702EAA" w:rsidRPr="00345B4B">
        <w:rPr>
          <w:i/>
          <w:noProof w:val="0"/>
          <w:sz w:val="24"/>
          <w:szCs w:val="24"/>
        </w:rPr>
        <w:t>INSERT PROPERTY’S LEGAL DESCRIPTION OR METES AND BOUNDS DESCRIPTION</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CB7C8B"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Pr="00345B4B" w:rsidRDefault="00CE58A5" w:rsidP="00F352D0">
      <w:pPr>
        <w:rPr>
          <w:noProof w:val="0"/>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sz w:val="24"/>
          <w:szCs w:val="24"/>
        </w:rPr>
      </w:pPr>
      <w:r>
        <w:rPr>
          <w:b/>
          <w:sz w:val="24"/>
          <w:szCs w:val="24"/>
        </w:rPr>
        <w:t>QUITCLAIM OF EXISTING FACILITIES</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 xml:space="preserve">installing, constructing, operating, maintaining, inspecting, repairing, replacing, adding to or altering, changing the size of, and removing one or more present or future sanitary sewage utility lines and mains, including, without limitation, inlet structures, </w:t>
      </w:r>
      <w:r w:rsidR="00FC7564">
        <w:rPr>
          <w:sz w:val="24"/>
          <w:szCs w:val="24"/>
        </w:rPr>
        <w:t xml:space="preserve">meters, </w:t>
      </w:r>
      <w:r w:rsidR="00A7127A" w:rsidRPr="00345B4B">
        <w:rPr>
          <w:sz w:val="24"/>
          <w:szCs w:val="24"/>
        </w:rPr>
        <w:t xml:space="preserve">manholes, </w:t>
      </w:r>
      <w:r w:rsidR="00FC7564">
        <w:rPr>
          <w:sz w:val="24"/>
          <w:szCs w:val="24"/>
        </w:rPr>
        <w:t xml:space="preserve">forcemains, </w:t>
      </w:r>
      <w:r w:rsidR="00A7127A" w:rsidRPr="00345B4B">
        <w:rPr>
          <w:sz w:val="24"/>
          <w:szCs w:val="24"/>
        </w:rPr>
        <w:t>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sidR="00FC7564">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sidR="00FC7564">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w:t>
      </w:r>
      <w:r w:rsidRPr="00345B4B">
        <w:rPr>
          <w:rFonts w:ascii="Times New Roman" w:hAnsi="Times New Roman" w:cs="Times New Roman"/>
          <w:sz w:val="24"/>
          <w:szCs w:val="24"/>
        </w:rPr>
        <w:lastRenderedPageBreak/>
        <w:t>shall not be construed to 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w:t>
      </w:r>
      <w:r w:rsidR="00FC7564">
        <w:rPr>
          <w:sz w:val="24"/>
          <w:szCs w:val="24"/>
        </w:rPr>
        <w:t xml:space="preserve"> </w:t>
      </w:r>
      <w:r w:rsidRPr="00345B4B">
        <w:rPr>
          <w:sz w:val="24"/>
          <w:szCs w:val="24"/>
        </w:rPr>
        <w:t>(the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mains, including, without limitation, fire hydrants, valves, vaults, meters, building service connections and other appurtenant facilities for 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Facilities which are installed in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shall be and remain the property of the Authority, its successors and assigns.</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for the purposes named, and shall have all rights and privileges reasonably necessary to the enjoyment and exercise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including the right of reasonable access to and from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Area, including those existing at the time of execution of this Deed, deemed by the Authority to interfere with the proper and efficient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provided, however, that the Authority at its own expense shall restore, as nearly as practicable, to their original condition all land or premises included within or adjoining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are disturbed in any manner by the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but shall not include the replacement of trees, flowers, shrubbery, vegetable plants, structures, except Permitted Fences, or other obstructions located within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840CE0" w:rsidRPr="00F352D0" w:rsidRDefault="00FC7564" w:rsidP="00FC7564">
      <w:pPr>
        <w:pStyle w:val="ListParagraph"/>
        <w:numPr>
          <w:ilvl w:val="0"/>
          <w:numId w:val="6"/>
        </w:numPr>
        <w:spacing w:line="240" w:lineRule="auto"/>
        <w:ind w:left="0" w:firstLine="720"/>
        <w:rPr>
          <w:sz w:val="24"/>
          <w:szCs w:val="24"/>
        </w:rPr>
      </w:pPr>
      <w:r w:rsidRPr="00345B4B">
        <w:rPr>
          <w:rFonts w:ascii="Times New Roman" w:hAnsi="Times New Roman" w:cs="Times New Roman"/>
          <w:sz w:val="24"/>
          <w:szCs w:val="24"/>
        </w:rPr>
        <w:t xml:space="preserve">The Owner reserves the right to make any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may not be inconsistent with the rights herein conveyed, or interfere with the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by the Authority for the purposes named; provided, however, that the Owner shall not erect any building or other structure, including a fence,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without obtaining the prior written approval of the Authority.  In the event a use of the Property by Owner is approved by the Authority, but requires the relocation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or the adjustment of the depth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TEMPORARY CONSTRUCTION EASEMENT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FC7564" w:rsidRPr="00345B4B">
        <w:rPr>
          <w:sz w:val="24"/>
          <w:szCs w:val="24"/>
        </w:rPr>
        <w:t xml:space="preserve">and its </w:t>
      </w:r>
      <w:r w:rsidR="00FC7564">
        <w:rPr>
          <w:sz w:val="24"/>
          <w:szCs w:val="24"/>
        </w:rPr>
        <w:t xml:space="preserve">agents, employees, </w:t>
      </w:r>
      <w:r w:rsidR="00FC7564" w:rsidRPr="00345B4B">
        <w:rPr>
          <w:sz w:val="24"/>
          <w:szCs w:val="24"/>
        </w:rPr>
        <w:t xml:space="preserve">contractors, </w:t>
      </w:r>
      <w:r w:rsidR="00FC7564">
        <w:rPr>
          <w:sz w:val="24"/>
          <w:szCs w:val="24"/>
        </w:rPr>
        <w:t>and authorized permittees</w:t>
      </w:r>
      <w:r w:rsidRPr="00345B4B">
        <w:rPr>
          <w:sz w:val="24"/>
          <w:szCs w:val="24"/>
        </w:rPr>
        <w:t xml:space="preserve"> </w:t>
      </w:r>
      <w:r w:rsidR="00CE58A5" w:rsidRPr="00345B4B">
        <w:rPr>
          <w:sz w:val="24"/>
          <w:szCs w:val="24"/>
        </w:rPr>
        <w:t xml:space="preserve">shall have full and free use of the said </w:t>
      </w:r>
      <w:r w:rsidR="00CE58A5" w:rsidRPr="00345B4B">
        <w:rPr>
          <w:noProof w:val="0"/>
          <w:sz w:val="24"/>
          <w:szCs w:val="24"/>
        </w:rPr>
        <w:t>Temporary Construction Easement</w:t>
      </w:r>
      <w:r w:rsidR="00CE58A5" w:rsidRPr="00345B4B">
        <w:rPr>
          <w:sz w:val="24"/>
          <w:szCs w:val="24"/>
        </w:rPr>
        <w:t xml:space="preserve"> for the purposes named, and shall have all rights and privileges reasonably necessary to the enjoyment and exercise of the </w:t>
      </w:r>
      <w:r w:rsidR="00CE58A5" w:rsidRPr="00345B4B">
        <w:rPr>
          <w:noProof w:val="0"/>
          <w:sz w:val="24"/>
          <w:szCs w:val="24"/>
        </w:rPr>
        <w:t>Temporary Construction Easement</w:t>
      </w:r>
      <w:r w:rsidR="00CE58A5" w:rsidRPr="00345B4B">
        <w:rPr>
          <w:sz w:val="24"/>
          <w:szCs w:val="24"/>
        </w:rPr>
        <w:t xml:space="preserve"> including the right of reasonable access to and from the </w:t>
      </w:r>
      <w:r w:rsidR="00CE58A5" w:rsidRPr="00345B4B">
        <w:rPr>
          <w:noProof w:val="0"/>
          <w:sz w:val="24"/>
          <w:szCs w:val="24"/>
        </w:rPr>
        <w:t>Temporary Construction Easement Area</w:t>
      </w:r>
      <w:r w:rsidR="00CE58A5"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CE58A5" w:rsidRPr="00345B4B">
        <w:rPr>
          <w:sz w:val="24"/>
          <w:szCs w:val="24"/>
        </w:rPr>
        <w:t xml:space="preserve">shall have the right to trim, cut and remove trees, shrubbery, fences, structures or other obstructions or facilities in or near the </w:t>
      </w:r>
      <w:r w:rsidR="00CE58A5" w:rsidRPr="00345B4B">
        <w:rPr>
          <w:noProof w:val="0"/>
          <w:sz w:val="24"/>
          <w:szCs w:val="24"/>
        </w:rPr>
        <w:t>Temporary Construction Easement</w:t>
      </w:r>
      <w:r w:rsidR="00CE58A5"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C7564" w:rsidRDefault="00FC7564" w:rsidP="00216608">
      <w:pPr>
        <w:jc w:val="center"/>
        <w:rPr>
          <w:b/>
          <w:sz w:val="24"/>
          <w:szCs w:val="24"/>
        </w:rPr>
      </w:pPr>
    </w:p>
    <w:p w:rsidR="00FC7564" w:rsidRDefault="00FC7564" w:rsidP="00216608">
      <w:pPr>
        <w:jc w:val="center"/>
        <w:rPr>
          <w:b/>
          <w:sz w:val="24"/>
          <w:szCs w:val="24"/>
        </w:rPr>
      </w:pPr>
    </w:p>
    <w:p w:rsidR="00FC7564" w:rsidRDefault="00FC7564" w:rsidP="00216608">
      <w:pPr>
        <w:jc w:val="center"/>
        <w:rPr>
          <w:b/>
          <w:sz w:val="24"/>
          <w:szCs w:val="24"/>
        </w:rPr>
      </w:pPr>
    </w:p>
    <w:p w:rsidR="00FC7564" w:rsidRDefault="00FC7564" w:rsidP="00216608">
      <w:pPr>
        <w:jc w:val="center"/>
        <w:rPr>
          <w:b/>
          <w:sz w:val="24"/>
          <w:szCs w:val="24"/>
        </w:rPr>
      </w:pPr>
    </w:p>
    <w:p w:rsidR="00CB7C8B" w:rsidRPr="00216608" w:rsidRDefault="00CB7C8B" w:rsidP="00216608">
      <w:pPr>
        <w:jc w:val="center"/>
        <w:rPr>
          <w:b/>
          <w:sz w:val="24"/>
          <w:szCs w:val="24"/>
        </w:rPr>
      </w:pPr>
      <w:r w:rsidRPr="00216608">
        <w:rPr>
          <w:b/>
          <w:sz w:val="24"/>
          <w:szCs w:val="24"/>
        </w:rPr>
        <w:t>RELEASE AND SUBORDINATION</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Pr>
          <w:sz w:val="24"/>
          <w:szCs w:val="24"/>
        </w:rPr>
        <w:t>[</w:t>
      </w:r>
      <w:r w:rsidR="00B35299">
        <w:rPr>
          <w:i/>
          <w:sz w:val="24"/>
          <w:szCs w:val="24"/>
        </w:rPr>
        <w:t xml:space="preserve">CHOOSE </w:t>
      </w:r>
      <w:r w:rsidR="00B35299" w:rsidRPr="001B251E">
        <w:rPr>
          <w:i/>
          <w:sz w:val="24"/>
          <w:szCs w:val="24"/>
        </w:rPr>
        <w:t>ONE</w:t>
      </w:r>
      <w:r w:rsidR="00B35299">
        <w:rPr>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Pr="00216608"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Sanitary Sewer Easement Area </w:t>
      </w:r>
      <w:r>
        <w:rPr>
          <w:rFonts w:ascii="Times New Roman" w:hAnsi="Times New Roman" w:cs="Times New Roman"/>
          <w:sz w:val="24"/>
          <w:szCs w:val="24"/>
        </w:rPr>
        <w:t>and/or Waterline Easement Area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CE58A5" w:rsidP="00F352D0">
      <w:pPr>
        <w:ind w:left="2160" w:firstLine="720"/>
        <w:rPr>
          <w:b/>
          <w:sz w:val="24"/>
          <w:szCs w:val="24"/>
        </w:rPr>
      </w:pPr>
      <w:r w:rsidRPr="00345B4B">
        <w:rPr>
          <w:b/>
          <w:sz w:val="24"/>
          <w:szCs w:val="24"/>
        </w:rPr>
        <w:t>GRANTEE:</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____________ __________</w:t>
      </w:r>
      <w:r w:rsidRPr="00345B4B">
        <w:rPr>
          <w:sz w:val="24"/>
          <w:szCs w:val="24"/>
        </w:rPr>
        <w:t>, as __________________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p>
    <w:sectPr w:rsidR="00625AC1" w:rsidRPr="0034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FD" w:rsidRDefault="00057EFD" w:rsidP="00057EFD">
      <w:r>
        <w:separator/>
      </w:r>
    </w:p>
  </w:endnote>
  <w:endnote w:type="continuationSeparator" w:id="0">
    <w:p w:rsidR="00057EFD" w:rsidRDefault="00057EFD"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77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Pr="00347D37" w:rsidRDefault="00FC7564" w:rsidP="00347D37">
    <w:pPr>
      <w:pStyle w:val="Footer"/>
    </w:pPr>
    <w:r w:rsidRPr="00FC7564">
      <w:rPr>
        <w:vanish/>
        <w:sz w:val="16"/>
      </w:rPr>
      <w:t>{</w:t>
    </w:r>
    <w:r w:rsidRPr="00FC7564">
      <w:rPr>
        <w:sz w:val="16"/>
      </w:rPr>
      <w:t>01097465-2</w:t>
    </w:r>
    <w:r w:rsidRPr="00FC7564">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771FCF">
          <w:t>1</w:t>
        </w:r>
        <w:r w:rsidR="00526560" w:rsidRPr="00347D37">
          <w:fldChar w:fldCharType="end"/>
        </w:r>
      </w:sdtContent>
    </w:sdt>
  </w:p>
  <w:p w:rsidR="003B5954" w:rsidRPr="00347D37" w:rsidRDefault="00771FCF" w:rsidP="003B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77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FD" w:rsidRDefault="00057EFD" w:rsidP="00057EFD">
      <w:r>
        <w:separator/>
      </w:r>
    </w:p>
  </w:footnote>
  <w:footnote w:type="continuationSeparator" w:id="0">
    <w:p w:rsidR="00057EFD" w:rsidRDefault="00057EFD" w:rsidP="0005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77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771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771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8A78BC04"/>
    <w:lvl w:ilvl="0" w:tplc="886C29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097465-2"/>
  </w:docVars>
  <w:rsids>
    <w:rsidRoot w:val="00CE58A5"/>
    <w:rsid w:val="00036615"/>
    <w:rsid w:val="00057EFD"/>
    <w:rsid w:val="00072A99"/>
    <w:rsid w:val="001B251E"/>
    <w:rsid w:val="001F3555"/>
    <w:rsid w:val="00216608"/>
    <w:rsid w:val="00345B4B"/>
    <w:rsid w:val="004760A6"/>
    <w:rsid w:val="0050305E"/>
    <w:rsid w:val="00526560"/>
    <w:rsid w:val="00625AC1"/>
    <w:rsid w:val="006C410D"/>
    <w:rsid w:val="00702EAA"/>
    <w:rsid w:val="00771FCF"/>
    <w:rsid w:val="00840CE0"/>
    <w:rsid w:val="009A287A"/>
    <w:rsid w:val="009D7D76"/>
    <w:rsid w:val="00A7127A"/>
    <w:rsid w:val="00AA453E"/>
    <w:rsid w:val="00B35299"/>
    <w:rsid w:val="00B727E5"/>
    <w:rsid w:val="00BD0C0E"/>
    <w:rsid w:val="00C967B9"/>
    <w:rsid w:val="00CB7C8B"/>
    <w:rsid w:val="00CE58A5"/>
    <w:rsid w:val="00EB202E"/>
    <w:rsid w:val="00EC574D"/>
    <w:rsid w:val="00ED700D"/>
    <w:rsid w:val="00F11819"/>
    <w:rsid w:val="00F352D0"/>
    <w:rsid w:val="00FC7564"/>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1281-1D2E-456A-AF3A-F27B6D6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C0A5-F4BD-4C08-AB72-DAE3CF93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20011</Characters>
  <Application>Microsoft Office Word</Application>
  <DocSecurity>4</DocSecurity>
  <PresentationFormat>14|.DOCX</PresentationFormat>
  <Lines>166</Lines>
  <Paragraphs>46</Paragraphs>
  <ScaleCrop>false</ScaleCrop>
  <HeadingPairs>
    <vt:vector size="2" baseType="variant">
      <vt:variant>
        <vt:lpstr>Title</vt:lpstr>
      </vt:variant>
      <vt:variant>
        <vt:i4>1</vt:i4>
      </vt:variant>
    </vt:vector>
  </HeadingPairs>
  <TitlesOfParts>
    <vt:vector size="1" baseType="lpstr">
      <vt:lpstr>PWCSA_Omnibus Deed (01097465-2).DOCX</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(01097465-2).DOCX</dc:title>
  <dc:subject>01097465-2</dc:subject>
  <dc:creator>Senseiadmin</dc:creator>
  <cp:keywords/>
  <dc:description/>
  <cp:lastModifiedBy>Samantha Kearney</cp:lastModifiedBy>
  <cp:revision>2</cp:revision>
  <cp:lastPrinted>2016-08-19T14:03:00Z</cp:lastPrinted>
  <dcterms:created xsi:type="dcterms:W3CDTF">2018-07-16T18:16:00Z</dcterms:created>
  <dcterms:modified xsi:type="dcterms:W3CDTF">2018-07-16T18:16:00Z</dcterms:modified>
</cp:coreProperties>
</file>