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color w:val="000000" w:themeColor="text1"/>
          <w:szCs w:val="24"/>
          <w:u w:val="none"/>
        </w:rPr>
        <w:id w:val="23216877"/>
        <w:placeholder>
          <w:docPart w:val="DBC639352B0A4EB9A73507FA99DF1898"/>
        </w:placeholder>
        <w:showingPlcHdr/>
        <w:text/>
      </w:sdtPr>
      <w:sdtEndPr/>
      <w:sdtContent>
        <w:p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rsidR="005A5802" w:rsidRPr="005A5802" w:rsidRDefault="00874DCB"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r w:rsidR="005A5802" w:rsidRPr="005A5802">
            <w:rPr>
              <w:rStyle w:val="PlaceholderText"/>
              <w:u w:val="none"/>
            </w:rPr>
            <w:t>Consultant/Company Name</w:t>
          </w:r>
        </w:sdtContent>
      </w:sdt>
      <w:r w:rsidR="00A53418">
        <w:rPr>
          <w:b w:val="0"/>
          <w:color w:val="000000" w:themeColor="text1"/>
          <w:szCs w:val="24"/>
          <w:u w:val="none"/>
        </w:rPr>
        <w:t xml:space="preserve"> (CONSULTANT)</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Work Authorization No</w:t>
      </w:r>
      <w:r w:rsidR="00CE207B" w:rsidRPr="00CE207B">
        <w:rPr>
          <w:b w:val="0"/>
          <w:color w:val="000000" w:themeColor="text1"/>
          <w:szCs w:val="24"/>
          <w:u w:val="none"/>
        </w:rPr>
        <w:t xml:space="preserve"> </w:t>
      </w:r>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r w:rsidRPr="00DB2413">
        <w:rPr>
          <w:b w:val="0"/>
          <w:color w:val="000000" w:themeColor="text1"/>
          <w:szCs w:val="24"/>
          <w:u w:val="none"/>
        </w:rPr>
        <w:t xml:space="preserve">. </w:t>
      </w:r>
    </w:p>
    <w:sdt>
      <w:sdtPr>
        <w:rPr>
          <w:color w:val="000000" w:themeColor="text1"/>
          <w:sz w:val="24"/>
          <w:szCs w:val="24"/>
        </w:rPr>
        <w:id w:val="-141584793"/>
        <w:placeholder>
          <w:docPart w:val="E8DA538EB3C14E56BE97B0B180255DC2"/>
        </w:placeholder>
        <w:showingPlcHdr/>
        <w:text/>
      </w:sdtPr>
      <w:sdtEndPr/>
      <w:sdtContent>
        <w:p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in</w:t>
      </w:r>
      <w:r w:rsidRPr="00DB2413">
        <w:rPr>
          <w:color w:val="000000" w:themeColor="text1"/>
          <w:sz w:val="24"/>
          <w:szCs w:val="24"/>
        </w:rPr>
        <w:t xml:space="preserve"> </w:t>
      </w:r>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r w:rsidRPr="00DB2413">
        <w:rPr>
          <w:color w:val="000000" w:themeColor="text1"/>
          <w:sz w:val="24"/>
          <w:szCs w:val="24"/>
        </w:rPr>
        <w:t xml:space="preserve">Services Agreement between the SERVICE AUTHORITY and CONSULTANT for </w:t>
      </w:r>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r w:rsidRPr="00DB2413">
        <w:rPr>
          <w:color w:val="000000" w:themeColor="text1"/>
          <w:sz w:val="24"/>
          <w:szCs w:val="24"/>
        </w:rPr>
        <w:t>Services (hereinafter referred to “</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r w:rsidRPr="00DB2413">
        <w:rPr>
          <w:color w:val="000000" w:themeColor="text1"/>
          <w:sz w:val="24"/>
          <w:szCs w:val="24"/>
        </w:rPr>
        <w:t>SERVICES AGREEMENT”) dated</w:t>
      </w:r>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r w:rsidRPr="00DB2413">
        <w:rPr>
          <w:color w:val="000000" w:themeColor="text1"/>
          <w:sz w:val="24"/>
          <w:szCs w:val="24"/>
        </w:rPr>
        <w:t>this Project Agreement authorizes the CONSULTANT to provide the services as set forth below:</w:t>
      </w:r>
    </w:p>
    <w:p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rsidR="00D71B72" w:rsidRPr="00DB2413" w:rsidRDefault="00D71B72" w:rsidP="008D4A10">
      <w:pPr>
        <w:pStyle w:val="BodyText"/>
        <w:suppressLineNumbers/>
        <w:suppressAutoHyphens/>
        <w:spacing w:before="240" w:after="240"/>
        <w:ind w:right="36"/>
        <w:rPr>
          <w:color w:val="000000" w:themeColor="text1"/>
          <w:sz w:val="24"/>
          <w:szCs w:val="24"/>
        </w:rPr>
      </w:pPr>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r w:rsidRPr="00DB2413">
        <w:rPr>
          <w:szCs w:val="24"/>
        </w:rPr>
        <w:t>Services to the SERVICE AUTHORITY for the Work as described in the “Project Description” attached as EXHIBIT “1”.</w:t>
      </w:r>
      <w:bookmarkEnd w:id="1"/>
      <w:bookmarkEnd w:id="2"/>
      <w:bookmarkEnd w:id="3"/>
      <w:bookmarkEnd w:id="4"/>
      <w:bookmarkEnd w:id="5"/>
    </w:p>
    <w:p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to be provided by the CONSULTANT for this Project are those services and tasks as listed in EXHIBIT “2”.</w:t>
      </w:r>
      <w:bookmarkEnd w:id="6"/>
      <w:bookmarkEnd w:id="7"/>
      <w:bookmarkEnd w:id="8"/>
      <w:bookmarkEnd w:id="9"/>
      <w:bookmarkEnd w:id="10"/>
    </w:p>
    <w:p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r w:rsidRPr="00DB2413">
        <w:rPr>
          <w:szCs w:val="24"/>
        </w:rPr>
        <w:t>Services Agreement, prior to any deviation from the terms of the Project Agreement, including the initiation of any extra Work.</w:t>
      </w:r>
      <w:bookmarkEnd w:id="11"/>
      <w:bookmarkEnd w:id="12"/>
      <w:bookmarkEnd w:id="13"/>
      <w:bookmarkEnd w:id="14"/>
      <w:bookmarkEnd w:id="15"/>
    </w:p>
    <w:p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to by the SERVICE AUTHORITY, the CONSULTANT is responsible for all Work necessary for the performance of the Services to be provided in this Project Agreement and all </w:t>
      </w:r>
      <w:r w:rsidR="0066026E">
        <w:rPr>
          <w:szCs w:val="24"/>
        </w:rPr>
        <w:t xml:space="preserve">Deliverables </w:t>
      </w:r>
      <w:r>
        <w:rPr>
          <w:szCs w:val="24"/>
        </w:rPr>
        <w:t xml:space="preserve">required.  The SERVICE AUTHORITY shall determine the acceptability of all </w:t>
      </w:r>
      <w:r w:rsidR="0066026E">
        <w:rPr>
          <w:szCs w:val="24"/>
        </w:rPr>
        <w:t>Deliverables</w:t>
      </w:r>
      <w:r>
        <w:rPr>
          <w:szCs w:val="24"/>
        </w:rPr>
        <w:t>.</w:t>
      </w:r>
    </w:p>
    <w:p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DELIVERABLES</w:t>
      </w:r>
    </w:p>
    <w:p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upon the date of the Notice to Proceed</w:t>
      </w:r>
      <w:r w:rsidRPr="00DB2413">
        <w:t xml:space="preserve"> and shall continue in full force and effect </w:t>
      </w:r>
      <w:r w:rsidR="00AE503B">
        <w:t>for</w:t>
      </w:r>
      <w:r w:rsidR="004A609F">
        <w:t xml:space="preserve"> </w:t>
      </w:r>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The SERVICE AUTHORITY’s designated Project Manager for this project agreement shall be</w:t>
      </w:r>
      <w:r w:rsidR="00CE207B">
        <w:t xml:space="preserve"> </w:t>
      </w:r>
      <w:sdt>
        <w:sdtPr>
          <w:rPr>
            <w:b/>
          </w:rPr>
          <w:id w:val="1547960794"/>
          <w:placeholder>
            <w:docPart w:val="1FA9D6E2CC554CAFA0ECD0E6AE00BBFD"/>
          </w:placeholder>
          <w:showingPlcHdr/>
          <w:text/>
        </w:sdtPr>
        <w:sdtEndPr/>
        <w:sdtContent>
          <w:r w:rsidR="00CE207B" w:rsidRPr="00644802">
            <w:rPr>
              <w:rStyle w:val="PlaceholderText"/>
              <w:rFonts w:eastAsiaTheme="minorHAnsi"/>
              <w:b/>
            </w:rPr>
            <w:t>Enter Project Manager’s name and title.</w:t>
          </w:r>
        </w:sdtContent>
      </w:sdt>
      <w:r w:rsidRPr="000D2CE4">
        <w:t xml:space="preserve">. </w:t>
      </w:r>
    </w:p>
    <w:p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The CONSULTANT’S services under this Project Agreement and the time frames applicable to this Project Agreement shall commence upon the date provided in a written Notice to Proceed (“Commencement Date”) and receipt of a fully executed Purchase Order provided to the CONSULTANT from the SERVICE AUTHORITY.  The CONSULTANT shall not incur any expenses or obligations for payment to third parties prior to the issuance of the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of this Project Agreement, shall be at the CONSULTANT’S risk.</w:t>
      </w:r>
    </w:p>
    <w:p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lastRenderedPageBreak/>
        <w:tab/>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sums due and payable hereunder by the CONSULTANT shall be payable, not as a penalty, but as liquidated damages representing an estimate of delay damages likely to be sustained by the SERVICE AUTHORITY, estimated at or before the time of executing this Project Agreement.</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When the SERVICE AUTHORITY reasonably believes that completion will be inexcusably delayed, the SERVICE AUTHORITY shall be entitled, but not required, to withhold from any amounts otherwise due the CONSULTANT an amount believed by the SERVICE AUTHORITY to be adequate to recover liquidated damages applicable to such delays.</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parties agree that the per diem measure of liquidated damages are a reasonable measure of the damages SERVICE AUTHORITY is likely to suffer in case of delay, and the CONSULTANT agrees that it will not challenge the per diem amounts of liquidated damages imposed pursuant to this Section 4.</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parties further agree that the liquidated damages set forth in this Section 4 shall be the SERVICE AUTHORITY’S sole remedy for delay as a result of the CONSULTANT’S failure to achieve completion within the time required by this Project Agreement.</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 may, but shall not be obligated to, deduct any liquidated damages that become due from any unpaid amounts then or which thereafter become due to the CONSULTANT.</w:t>
      </w:r>
    </w:p>
    <w:p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amounts due the CONSULTANT shall be immediately due and payable to the SERVICE AUTHORITY upon demand.</w:t>
      </w:r>
    </w:p>
    <w:p w:rsidR="00D71B72" w:rsidRPr="00DB2413" w:rsidRDefault="00D71B72" w:rsidP="008D4A10">
      <w:pPr>
        <w:pStyle w:val="ListParagraph"/>
        <w:numPr>
          <w:ilvl w:val="0"/>
          <w:numId w:val="5"/>
        </w:numPr>
        <w:spacing w:before="120" w:after="120"/>
        <w:ind w:left="720" w:right="36" w:hanging="720"/>
        <w:contextualSpacing w:val="0"/>
        <w:jc w:val="both"/>
      </w:pPr>
      <w:bookmarkStart w:id="36" w:name="_Toc355207462"/>
      <w:bookmarkStart w:id="37" w:name="_Toc356395402"/>
      <w:bookmarkStart w:id="38" w:name="_Toc356399721"/>
      <w:bookmarkStart w:id="39" w:name="_Toc313439981"/>
      <w:bookmarkStart w:id="40" w:name="_Toc352657729"/>
      <w:r w:rsidRPr="00DB2413">
        <w:rPr>
          <w:b/>
          <w:u w:val="single"/>
        </w:rPr>
        <w:t>SERVICE AUTHORITY Caused Delay</w:t>
      </w:r>
      <w:r w:rsidRPr="00DB2413">
        <w:t>.  If the SERVICE AUTHORITY, or other contractors or utility owners performing work for the SERVICE AUTHORITY, or anyone for whom the SERVICE AUTHORITY is responsible, delays, disrupts, or interferes with the performance or progress of the CONSULTANT’S services under this Project Agreement, then CONSULTANT shall be entitled to request an equitable adjustment in the Project Schedule and compensation for the Work, or both.</w:t>
      </w:r>
      <w:bookmarkEnd w:id="36"/>
      <w:bookmarkEnd w:id="37"/>
      <w:bookmarkEnd w:id="38"/>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1" w:name="_Toc355207463"/>
      <w:bookmarkStart w:id="42" w:name="_Toc356395403"/>
      <w:bookmarkStart w:id="43" w:name="_Toc356399722"/>
      <w:r w:rsidRPr="00DB2413">
        <w:rPr>
          <w:color w:val="000000" w:themeColor="text1"/>
          <w:sz w:val="24"/>
          <w:szCs w:val="24"/>
        </w:rPr>
        <w:lastRenderedPageBreak/>
        <w:t>CONSULTANT’S entitlement to request an adjustment of the Project Schedule is conditioned on such adjustment being essential to CONSULTANT’S ability to complete the Work within the Project Schedule.</w:t>
      </w:r>
      <w:bookmarkEnd w:id="41"/>
      <w:bookmarkEnd w:id="42"/>
      <w:bookmarkEnd w:id="43"/>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4" w:name="_Toc355207464"/>
      <w:bookmarkStart w:id="45" w:name="_Toc356395404"/>
      <w:bookmarkStart w:id="46" w:name="_Toc356399723"/>
      <w:r w:rsidRPr="00DB2413">
        <w:rPr>
          <w:color w:val="000000" w:themeColor="text1"/>
          <w:sz w:val="24"/>
          <w:szCs w:val="24"/>
        </w:rPr>
        <w:t>For claims by the CONSULTANT for costs or damages related to unreasonable delay within the SERVICE AUTHORITY’S control, the CONSULTANT shall be liable to the SERVICE AUTHORITY for a percentage of all costs incurred by the SERVICE AUTHORITY in investigating, analyzing, negotiating, litigating and arbitrating the claim, which percentage shall be equal to the percentage of the CONSULTANT’S total delay claim that is determined through litigation or arbitration to be false or have no basis in law or in fact.</w:t>
      </w:r>
      <w:bookmarkEnd w:id="44"/>
      <w:bookmarkEnd w:id="45"/>
      <w:bookmarkEnd w:id="46"/>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7" w:name="_Toc355207465"/>
      <w:bookmarkStart w:id="48" w:name="_Toc356395405"/>
      <w:bookmarkStart w:id="49" w:name="_Toc356399724"/>
      <w:r w:rsidRPr="00DB2413">
        <w:rPr>
          <w:color w:val="000000" w:themeColor="text1"/>
          <w:sz w:val="24"/>
          <w:szCs w:val="24"/>
        </w:rPr>
        <w:t>If the SERVICE AUTHORITY denies CONSULTANT’S claim for costs or damage related to unreasonable delay within the SERVICE AUTHORITY’S control, the SERVICE AUTHORITY shall be liable to the CONSULTANT a percentage of all costs incurred by the CONSULTANT to investigate, analyze, negotiate, litigate and arbitrate the claim.</w:t>
      </w:r>
      <w:bookmarkEnd w:id="47"/>
      <w:bookmarkEnd w:id="48"/>
      <w:bookmarkEnd w:id="49"/>
    </w:p>
    <w:p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50" w:name="_Toc355207466"/>
      <w:bookmarkStart w:id="51" w:name="_Toc356395406"/>
      <w:bookmarkStart w:id="52" w:name="_Toc356399725"/>
      <w:r w:rsidRPr="00DB2413">
        <w:rPr>
          <w:color w:val="000000" w:themeColor="text1"/>
          <w:sz w:val="24"/>
          <w:szCs w:val="24"/>
        </w:rPr>
        <w:t>The percentage paid by the SERVICE AUTHORITY shall be equal to the percentage of the CONSULTANT’S total delay claim for which the SERVICE AUTHORITY’S denial is determined through litigation or arbitration to have been made in bad faith.</w:t>
      </w:r>
      <w:bookmarkEnd w:id="39"/>
      <w:bookmarkEnd w:id="40"/>
      <w:bookmarkEnd w:id="50"/>
      <w:bookmarkEnd w:id="51"/>
      <w:bookmarkEnd w:id="52"/>
    </w:p>
    <w:p w:rsidR="00D71B72" w:rsidRPr="00DB2413" w:rsidRDefault="00D71B72" w:rsidP="008D4A10">
      <w:pPr>
        <w:pStyle w:val="ListParagraph"/>
        <w:numPr>
          <w:ilvl w:val="0"/>
          <w:numId w:val="5"/>
        </w:numPr>
        <w:spacing w:before="120" w:after="120"/>
        <w:ind w:left="720" w:right="36" w:hanging="720"/>
        <w:contextualSpacing w:val="0"/>
        <w:jc w:val="both"/>
      </w:pPr>
      <w:bookmarkStart w:id="53" w:name="_Toc313439982"/>
      <w:bookmarkStart w:id="54" w:name="_Toc352657730"/>
      <w:bookmarkStart w:id="55" w:name="_Toc355207467"/>
      <w:bookmarkStart w:id="56" w:name="_Toc356395407"/>
      <w:bookmarkStart w:id="57" w:name="_Toc356399726"/>
      <w:r w:rsidRPr="00DB2413">
        <w:t xml:space="preserve">Claims for adjustments in the Project Schedule, damages or compensation, related to delays not within the control of the CONSULTANT, shall be made in accordance with Section 40 of the </w:t>
      </w:r>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r w:rsidRPr="00DB2413">
        <w:t>Services Agreement.</w:t>
      </w:r>
      <w:bookmarkEnd w:id="53"/>
      <w:bookmarkEnd w:id="54"/>
      <w:bookmarkEnd w:id="55"/>
      <w:bookmarkEnd w:id="56"/>
      <w:bookmarkEnd w:id="57"/>
    </w:p>
    <w:p w:rsidR="00D71B72" w:rsidRPr="00DB2413" w:rsidRDefault="00D71B72" w:rsidP="008D4A10">
      <w:pPr>
        <w:pStyle w:val="ListParagraph"/>
        <w:numPr>
          <w:ilvl w:val="0"/>
          <w:numId w:val="5"/>
        </w:numPr>
        <w:spacing w:before="120" w:after="120"/>
        <w:ind w:left="720" w:right="36" w:hanging="720"/>
        <w:contextualSpacing w:val="0"/>
        <w:jc w:val="both"/>
      </w:pPr>
      <w:bookmarkStart w:id="58" w:name="_Toc355207468"/>
      <w:bookmarkStart w:id="59" w:name="_Toc356395408"/>
      <w:bookmarkStart w:id="60" w:name="_Toc313439983"/>
      <w:bookmarkStart w:id="61" w:name="_Toc352657731"/>
      <w:bookmarkStart w:id="62" w:name="_Toc356399727"/>
      <w:r w:rsidRPr="00DB2413">
        <w:t xml:space="preserve">Notwithstanding the provisions of Paragraph 4.5, in the event that the </w:t>
      </w:r>
      <w:r w:rsidR="005C6E40">
        <w:t>CONSULTANT</w:t>
      </w:r>
      <w:r w:rsidRPr="00DB2413">
        <w:t xml:space="preserve"> fails to substantially complete the Work on or before the substantial completion date specified in the Contract for Construction or the </w:t>
      </w:r>
      <w:r w:rsidR="005C6E40">
        <w:t>CONSULTANT</w:t>
      </w:r>
      <w:r w:rsidRPr="00DB2413">
        <w:t xml:space="preserve"> is granted an extension of the time to complete performance under the Contract for Construction, and the CONSULTANT’S contract administration services are materially extended by the SERVICE AUTHORITY as a direct result thereof and through no fault of the CONSULTANT, the CONSULTANT shall be entitled to additional compensation at the rates shown in the </w:t>
      </w:r>
      <w:sdt>
        <w:sdtPr>
          <w:id w:val="-1965114621"/>
          <w:placeholder>
            <w:docPart w:val="259CE9EA78014DA2A7B92951712DDF73"/>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r w:rsidRPr="00DB2413">
        <w:t>Services Agreement EXHIBIT “A”, Salary Costs.</w:t>
      </w:r>
      <w:bookmarkEnd w:id="58"/>
      <w:bookmarkEnd w:id="59"/>
      <w:r w:rsidRPr="00DB2413">
        <w:t xml:space="preserve">  </w:t>
      </w:r>
      <w:bookmarkStart w:id="63" w:name="_Toc355207469"/>
      <w:bookmarkStart w:id="64" w:name="_Toc356395409"/>
      <w:r w:rsidRPr="00DB2413">
        <w:t>The amount of compensation due by the CONSULTANT under this paragraph shall be pursuant to an approved Change Order.</w:t>
      </w:r>
      <w:bookmarkEnd w:id="60"/>
      <w:bookmarkEnd w:id="61"/>
      <w:bookmarkEnd w:id="62"/>
      <w:bookmarkEnd w:id="63"/>
      <w:bookmarkEnd w:id="64"/>
    </w:p>
    <w:p w:rsidR="00D71B72" w:rsidRPr="00DB2413" w:rsidRDefault="00D71B72" w:rsidP="008D4A10">
      <w:pPr>
        <w:pStyle w:val="ListParagraph"/>
        <w:numPr>
          <w:ilvl w:val="0"/>
          <w:numId w:val="5"/>
        </w:numPr>
        <w:spacing w:before="120" w:after="120"/>
        <w:ind w:left="720" w:right="36" w:hanging="720"/>
        <w:contextualSpacing w:val="0"/>
        <w:jc w:val="both"/>
      </w:pPr>
      <w:bookmarkStart w:id="65" w:name="_Toc313439984"/>
      <w:bookmarkStart w:id="66" w:name="_Toc352657732"/>
      <w:bookmarkStart w:id="67" w:name="_Toc355207470"/>
      <w:bookmarkStart w:id="68" w:name="_Toc356395410"/>
      <w:bookmarkStart w:id="69" w:name="_Toc356399728"/>
      <w:r w:rsidRPr="00DB2413">
        <w:t>All limitations of time set forth in this Project Agreement are of the essence.</w:t>
      </w:r>
      <w:bookmarkEnd w:id="65"/>
      <w:bookmarkEnd w:id="66"/>
      <w:bookmarkEnd w:id="67"/>
      <w:bookmarkEnd w:id="68"/>
      <w:bookmarkEnd w:id="69"/>
    </w:p>
    <w:p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shall be in conformance with EXHIBIT “E” of the </w:t>
      </w:r>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r w:rsidRPr="00DB2413">
        <w:rPr>
          <w:color w:val="000000" w:themeColor="text1"/>
          <w:sz w:val="24"/>
          <w:szCs w:val="24"/>
        </w:rPr>
        <w:t>Services Agreement.</w:t>
      </w:r>
    </w:p>
    <w:p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r w:rsidRPr="00DB2413">
        <w:rPr>
          <w:color w:val="000000" w:themeColor="text1"/>
          <w:sz w:val="24"/>
          <w:szCs w:val="24"/>
        </w:rPr>
        <w:t>Services Agreement) up to a maximum amount not-to-exceed including Other Direct Costs</w:t>
      </w:r>
      <w:r w:rsidR="00D1765E">
        <w:rPr>
          <w:color w:val="000000" w:themeColor="text1"/>
          <w:sz w:val="24"/>
          <w:szCs w:val="24"/>
        </w:rPr>
        <w:t xml:space="preserve"> $</w:t>
      </w:r>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r w:rsidRPr="00DB2413">
        <w:rPr>
          <w:color w:val="000000" w:themeColor="text1"/>
          <w:sz w:val="24"/>
          <w:szCs w:val="24"/>
        </w:rPr>
        <w:t>.  In the event the CONSULTANTS actual costs exceeds this amount the CONSULTANT shall complete the required deliverables and the SERVICE AUTHORITY shall pay $</w:t>
      </w:r>
      <w:r w:rsidR="00D84DC5">
        <w:rPr>
          <w:color w:val="000000" w:themeColor="text1"/>
          <w:sz w:val="24"/>
          <w:szCs w:val="24"/>
        </w:rPr>
        <w:t xml:space="preserve"> </w:t>
      </w:r>
      <w:sdt>
        <w:sdtPr>
          <w:rPr>
            <w:color w:val="000000" w:themeColor="text1"/>
            <w:sz w:val="24"/>
            <w:szCs w:val="24"/>
            <w:u w:val="single"/>
          </w:rPr>
          <w:id w:val="1748301337"/>
          <w:placeholder>
            <w:docPart w:val="E309ACE664F446FA80DD85C817746E16"/>
          </w:placeholder>
          <w:showingPlcHdr/>
          <w:text/>
        </w:sdtPr>
        <w:sdtEndPr/>
        <w:sdtContent>
          <w:r w:rsidR="00D84DC5" w:rsidRPr="00D84DC5">
            <w:rPr>
              <w:rStyle w:val="PlaceholderText"/>
              <w:rFonts w:eastAsiaTheme="minorHAnsi"/>
              <w:sz w:val="24"/>
              <w:szCs w:val="24"/>
              <w:u w:val="single"/>
            </w:rPr>
            <w:t>enter amount</w:t>
          </w:r>
        </w:sdtContent>
      </w:sdt>
      <w:r w:rsidRPr="00DB2413">
        <w:rPr>
          <w:color w:val="000000" w:themeColor="text1"/>
          <w:sz w:val="24"/>
          <w:szCs w:val="24"/>
        </w:rPr>
        <w:t>.</w:t>
      </w:r>
    </w:p>
    <w:p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lastRenderedPageBreak/>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It is understood that the method of compensation is that of Lump Sum which means that CONSULTANT shall perform all services set forth for total compensation in the amount stated above.  Said Lump Sum includes but is not limited to, compensation for all fees, expenses, and out-of-pocket costs of the CONSULTANT.  In the event the CONSULTANTS actual costs exceeds this amount the CONSULTANT shall complete the required deliverables and the SERVICE AUTHORITY shall pay $</w:t>
      </w:r>
      <w:r w:rsidR="00D84DC5">
        <w:rPr>
          <w:sz w:val="24"/>
          <w:szCs w:val="24"/>
        </w:rPr>
        <w:t xml:space="preserve"> </w:t>
      </w:r>
      <w:sdt>
        <w:sdtPr>
          <w:rPr>
            <w:sz w:val="24"/>
            <w:szCs w:val="24"/>
            <w:u w:val="single"/>
          </w:rPr>
          <w:id w:val="-309484446"/>
          <w:placeholder>
            <w:docPart w:val="0222A72003E940BB907973A88720B690"/>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w:t>
      </w:r>
    </w:p>
    <w:p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will be added depending on the Project Agreement requirements).</w:t>
      </w:r>
    </w:p>
    <w:p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Pr="00A3329D">
        <w:rPr>
          <w:b/>
          <w:color w:val="000000" w:themeColor="text1"/>
          <w:sz w:val="24"/>
          <w:szCs w:val="24"/>
          <w:u w:val="single"/>
        </w:rPr>
        <w:t xml:space="preserve"> </w:t>
      </w:r>
      <w:r w:rsidRPr="00A3329D">
        <w:rPr>
          <w:color w:val="000000" w:themeColor="text1"/>
          <w:sz w:val="24"/>
          <w:szCs w:val="24"/>
        </w:rPr>
        <w:t xml:space="preserve">and payments to the CONSULTANT shall be in accordance with EXHIBIT “E” of the </w:t>
      </w:r>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r w:rsidRPr="00A3329D">
        <w:rPr>
          <w:color w:val="000000" w:themeColor="text1"/>
          <w:sz w:val="24"/>
          <w:szCs w:val="24"/>
        </w:rPr>
        <w:t>Services Agreement and the Payment Schedule, a copy of which is attached and incorporated into this Project Agreement as EXHIBIT “4”.</w:t>
      </w:r>
    </w:p>
    <w:p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r>
        <w:rPr>
          <w:b/>
          <w:color w:val="000000" w:themeColor="text1"/>
          <w:sz w:val="24"/>
          <w:szCs w:val="24"/>
        </w:rPr>
        <w:t>Not applicable.</w:t>
      </w:r>
    </w:p>
    <w:p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rsidR="00D71B72" w:rsidRPr="00DB2413" w:rsidRDefault="00D71B72" w:rsidP="008D4A10">
      <w:pPr>
        <w:pStyle w:val="ListParagraph"/>
        <w:keepNext/>
        <w:numPr>
          <w:ilvl w:val="1"/>
          <w:numId w:val="6"/>
        </w:numPr>
        <w:spacing w:before="120" w:after="120"/>
        <w:ind w:left="720" w:right="36" w:hanging="720"/>
        <w:contextualSpacing w:val="0"/>
        <w:jc w:val="both"/>
      </w:pPr>
      <w:bookmarkStart w:id="70" w:name="_Toc313439985"/>
      <w:bookmarkStart w:id="71" w:name="_Toc352657733"/>
      <w:bookmarkStart w:id="72" w:name="_Toc355207471"/>
      <w:bookmarkStart w:id="73" w:name="_Toc356395411"/>
      <w:bookmarkStart w:id="74" w:name="_Toc356399729"/>
      <w:r w:rsidRPr="00DB2413">
        <w:t xml:space="preserve">Termination shall be in accordance with Section 6 of the </w:t>
      </w:r>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r w:rsidRPr="00DB2413">
        <w:t>Services Agreement.</w:t>
      </w:r>
      <w:bookmarkEnd w:id="70"/>
      <w:bookmarkEnd w:id="71"/>
      <w:bookmarkEnd w:id="72"/>
      <w:bookmarkEnd w:id="73"/>
      <w:bookmarkEnd w:id="74"/>
    </w:p>
    <w:p w:rsidR="00D71B72" w:rsidRPr="00DB2413" w:rsidRDefault="00D71B72" w:rsidP="008D4A10">
      <w:pPr>
        <w:pStyle w:val="ListParagraph"/>
        <w:numPr>
          <w:ilvl w:val="1"/>
          <w:numId w:val="6"/>
        </w:numPr>
        <w:spacing w:before="120" w:after="120"/>
        <w:ind w:left="720" w:right="36" w:hanging="720"/>
        <w:contextualSpacing w:val="0"/>
        <w:jc w:val="both"/>
      </w:pPr>
      <w:bookmarkStart w:id="75" w:name="_Toc313439986"/>
      <w:bookmarkStart w:id="76" w:name="_Toc352657734"/>
      <w:bookmarkStart w:id="77" w:name="_Toc355207472"/>
      <w:bookmarkStart w:id="78" w:name="_Toc356395412"/>
      <w:bookmarkStart w:id="79" w:name="_Toc356399730"/>
      <w:r w:rsidRPr="00DB2413">
        <w:t xml:space="preserve">Suspension in accordance with Section 52 of the </w:t>
      </w:r>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r w:rsidRPr="00DB2413">
        <w:t>Services Agreement.</w:t>
      </w:r>
      <w:bookmarkEnd w:id="75"/>
      <w:bookmarkEnd w:id="76"/>
      <w:bookmarkEnd w:id="77"/>
      <w:bookmarkEnd w:id="78"/>
      <w:bookmarkEnd w:id="79"/>
    </w:p>
    <w:p w:rsidR="00D71B72" w:rsidRPr="00DB2413" w:rsidRDefault="00D71B72" w:rsidP="008D4A10">
      <w:pPr>
        <w:pStyle w:val="ListParagraph"/>
        <w:numPr>
          <w:ilvl w:val="1"/>
          <w:numId w:val="6"/>
        </w:numPr>
        <w:spacing w:before="120" w:after="120"/>
        <w:ind w:left="720" w:right="36" w:hanging="720"/>
        <w:contextualSpacing w:val="0"/>
        <w:jc w:val="both"/>
      </w:pPr>
      <w:bookmarkStart w:id="80" w:name="_Toc356395413"/>
      <w:bookmarkStart w:id="81" w:name="_Toc356399731"/>
      <w:r w:rsidRPr="00DB2413">
        <w:t>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work product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 to the SERVICE AUTHORITY.  All Work Product provided under this Section shall be used solely for its intended purpose.</w:t>
      </w:r>
      <w:bookmarkEnd w:id="80"/>
      <w:bookmarkEnd w:id="81"/>
    </w:p>
    <w:p w:rsidR="00D71B72" w:rsidRPr="00DB2413" w:rsidRDefault="00D71B72" w:rsidP="008D4A10">
      <w:pPr>
        <w:pStyle w:val="ListParagraph"/>
        <w:numPr>
          <w:ilvl w:val="1"/>
          <w:numId w:val="6"/>
        </w:numPr>
        <w:spacing w:before="120" w:after="120"/>
        <w:ind w:left="720" w:right="36" w:hanging="720"/>
        <w:contextualSpacing w:val="0"/>
        <w:jc w:val="both"/>
      </w:pPr>
      <w:bookmarkStart w:id="82" w:name="_Toc355207473"/>
      <w:bookmarkStart w:id="83" w:name="_Toc356395414"/>
      <w:bookmarkStart w:id="84" w:name="_Toc356399732"/>
      <w:bookmarkStart w:id="85" w:name="_Toc352657735"/>
      <w:r w:rsidRPr="00DB2413">
        <w:lastRenderedPageBreak/>
        <w:t>Termination for Non-Appropriation of Funds:  If funds are not appropriated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82"/>
      <w:bookmarkEnd w:id="83"/>
      <w:bookmarkEnd w:id="84"/>
    </w:p>
    <w:p w:rsidR="007C5AE6" w:rsidRDefault="00D71B72" w:rsidP="008D4A10">
      <w:pPr>
        <w:pStyle w:val="BodyText"/>
        <w:suppressLineNumbers/>
        <w:suppressAutoHyphens/>
        <w:spacing w:after="240"/>
        <w:ind w:left="720" w:right="36"/>
        <w:jc w:val="both"/>
        <w:rPr>
          <w:color w:val="000000" w:themeColor="text1"/>
          <w:sz w:val="24"/>
          <w:szCs w:val="24"/>
        </w:rPr>
      </w:pPr>
      <w:bookmarkStart w:id="86" w:name="_Toc355207474"/>
      <w:bookmarkStart w:id="87" w:name="_Toc356395415"/>
      <w:bookmarkStart w:id="88" w:name="_Toc356399733"/>
      <w:r w:rsidRPr="00DB2413">
        <w:rPr>
          <w:color w:val="000000" w:themeColor="text1"/>
          <w:sz w:val="24"/>
          <w:szCs w:val="24"/>
        </w:rPr>
        <w:t xml:space="preserve">Should termination be accomplished in accordance with this Section, the SERVICE AUTHORITY shall be liable only for payments due through the date of termination, in the same manner as if the SERVICE AUTHORITY elected to terminate the Project Agreement for convenience under Section 6.1 of the </w:t>
      </w:r>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r w:rsidRPr="00DB2413">
        <w:rPr>
          <w:color w:val="000000" w:themeColor="text1"/>
          <w:sz w:val="24"/>
          <w:szCs w:val="24"/>
        </w:rPr>
        <w:t>Services Agreement.</w:t>
      </w:r>
      <w:bookmarkEnd w:id="85"/>
      <w:bookmarkEnd w:id="86"/>
      <w:bookmarkEnd w:id="87"/>
      <w:bookmarkEnd w:id="88"/>
    </w:p>
    <w:p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will perform those functions </w:t>
      </w:r>
      <w:r w:rsidR="008A1DFD">
        <w:rPr>
          <w:color w:val="000000" w:themeColor="text1"/>
          <w:sz w:val="24"/>
          <w:szCs w:val="24"/>
        </w:rPr>
        <w:t xml:space="preserve">at the rates listed below. All other personnel shall perform the functions and </w:t>
      </w:r>
      <w:r w:rsidR="00476389">
        <w:rPr>
          <w:color w:val="000000" w:themeColor="text1"/>
          <w:sz w:val="24"/>
          <w:szCs w:val="24"/>
        </w:rPr>
        <w:t xml:space="preserve">be </w:t>
      </w:r>
      <w:r w:rsidR="008A1DFD">
        <w:rPr>
          <w:color w:val="000000" w:themeColor="text1"/>
          <w:sz w:val="24"/>
          <w:szCs w:val="24"/>
        </w:rPr>
        <w:t>billed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Exhibit A–Labor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
    <w:p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 w:rsidR="00D71B72" w:rsidRPr="00DB2413" w:rsidRDefault="00874DC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rsidR="00D71B72" w:rsidRDefault="00874DCB"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rsidR="00E215C8" w:rsidRDefault="00874DC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rsidR="00E215C8" w:rsidRPr="00E215C8" w:rsidRDefault="00874DCB"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rsidR="009F5CBB" w:rsidRDefault="009F5CBB" w:rsidP="00CE11AB">
      <w:pPr>
        <w:pStyle w:val="BodyText"/>
        <w:suppressLineNumbers/>
        <w:tabs>
          <w:tab w:val="left" w:pos="720"/>
          <w:tab w:val="left" w:pos="4320"/>
          <w:tab w:val="left" w:pos="7200"/>
        </w:tabs>
        <w:suppressAutoHyphens/>
        <w:spacing w:after="0"/>
        <w:ind w:right="36"/>
        <w:rPr>
          <w:color w:val="000000" w:themeColor="text1"/>
          <w:sz w:val="24"/>
          <w:szCs w:val="24"/>
        </w:rPr>
      </w:pPr>
    </w:p>
    <w:p w:rsidR="00B347E8" w:rsidRDefault="00B347E8">
      <w:pPr>
        <w:spacing w:after="200" w:line="276" w:lineRule="auto"/>
        <w:rPr>
          <w:sz w:val="24"/>
          <w:szCs w:val="24"/>
        </w:rPr>
      </w:pPr>
      <w:r>
        <w:rPr>
          <w:sz w:val="24"/>
          <w:szCs w:val="24"/>
        </w:rPr>
        <w:br w:type="page"/>
      </w:r>
    </w:p>
    <w:p w:rsidR="009F5CBB" w:rsidRDefault="009F5CBB" w:rsidP="00CE11AB">
      <w:pPr>
        <w:pStyle w:val="BodyText"/>
        <w:keepNext/>
        <w:suppressLineNumbers/>
        <w:suppressAutoHyphens/>
        <w:spacing w:after="0"/>
        <w:ind w:right="43"/>
        <w:rPr>
          <w:color w:val="FF0000"/>
          <w:sz w:val="24"/>
          <w:szCs w:val="24"/>
        </w:rPr>
      </w:pPr>
      <w:r w:rsidRPr="00666286">
        <w:rPr>
          <w:sz w:val="24"/>
          <w:szCs w:val="24"/>
        </w:rPr>
        <w:lastRenderedPageBreak/>
        <w:t>Provide information requested below if Key Personnel is a Subconsultan</w:t>
      </w:r>
      <w:r w:rsidR="00666286">
        <w:rPr>
          <w:sz w:val="24"/>
          <w:szCs w:val="24"/>
        </w:rPr>
        <w:t xml:space="preserve">t. </w:t>
      </w:r>
    </w:p>
    <w:p w:rsidR="001876B5" w:rsidRDefault="001876B5" w:rsidP="00CE11AB">
      <w:pPr>
        <w:pStyle w:val="BodyText"/>
        <w:keepNext/>
        <w:suppressLineNumbers/>
        <w:suppressAutoHyphens/>
        <w:spacing w:after="0"/>
        <w:ind w:right="43"/>
        <w:rPr>
          <w:color w:val="FF0000"/>
          <w:sz w:val="24"/>
          <w:szCs w:val="24"/>
        </w:rPr>
      </w:pPr>
    </w:p>
    <w:p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FUNCTION</w:t>
      </w:r>
      <w:r w:rsidRPr="00DB2413">
        <w:rPr>
          <w:b/>
          <w:color w:val="000000" w:themeColor="text1"/>
          <w:sz w:val="24"/>
          <w:szCs w:val="24"/>
        </w:rPr>
        <w:tab/>
      </w:r>
      <w:r w:rsidRPr="00DB2413">
        <w:rPr>
          <w:b/>
          <w:color w:val="000000" w:themeColor="text1"/>
          <w:sz w:val="24"/>
          <w:szCs w:val="24"/>
        </w:rPr>
        <w:tab/>
      </w:r>
      <w:r>
        <w:rPr>
          <w:b/>
          <w:color w:val="000000" w:themeColor="text1"/>
          <w:sz w:val="24"/>
          <w:szCs w:val="24"/>
        </w:rPr>
        <w:tab/>
      </w:r>
      <w:r w:rsidRPr="00DB2413">
        <w:rPr>
          <w:b/>
          <w:color w:val="000000" w:themeColor="text1"/>
          <w:sz w:val="24"/>
          <w:szCs w:val="24"/>
        </w:rPr>
        <w:t>HOURLY RATE</w:t>
      </w:r>
    </w:p>
    <w:p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rsidR="000E37FD" w:rsidRPr="00E215C8" w:rsidRDefault="00874DCB"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sdt>
        <w:sdtPr>
          <w:rPr>
            <w:color w:val="000000" w:themeColor="text1"/>
            <w:sz w:val="24"/>
            <w:szCs w:val="24"/>
            <w:u w:val="single"/>
          </w:rPr>
          <w:id w:val="-1785183868"/>
          <w:placeholder>
            <w:docPart w:val="B7B465AAF15147D1A1709408622C0570"/>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sdt>
        <w:sdtPr>
          <w:rPr>
            <w:color w:val="000000" w:themeColor="text1"/>
            <w:sz w:val="24"/>
            <w:szCs w:val="24"/>
            <w:u w:val="single"/>
          </w:rPr>
          <w:id w:val="-1266308739"/>
          <w:placeholder>
            <w:docPart w:val="681E045295334B57B5441D63FA4A3BF4"/>
          </w:placeholder>
          <w:showingPlcHdr/>
          <w:text/>
        </w:sdtPr>
        <w:sdtEndPr/>
        <w:sdtContent>
          <w:r w:rsidR="000E37FD" w:rsidRPr="00E215C8">
            <w:rPr>
              <w:rStyle w:val="PlaceholderText"/>
              <w:rFonts w:eastAsiaTheme="minorHAnsi"/>
              <w:u w:val="single"/>
            </w:rPr>
            <w:t>enter text.</w:t>
          </w:r>
        </w:sdtContent>
      </w:sdt>
    </w:p>
    <w:p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rsidR="000E37FD" w:rsidRPr="00E215C8" w:rsidRDefault="00874DCB"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sdt>
        <w:sdtPr>
          <w:rPr>
            <w:color w:val="000000" w:themeColor="text1"/>
            <w:sz w:val="24"/>
            <w:szCs w:val="24"/>
            <w:u w:val="single"/>
          </w:rPr>
          <w:id w:val="-69581591"/>
          <w:placeholder>
            <w:docPart w:val="D7FFF0CD2DB24F06A937B86F14F2FE96"/>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sdt>
        <w:sdtPr>
          <w:rPr>
            <w:color w:val="000000" w:themeColor="text1"/>
            <w:sz w:val="24"/>
            <w:szCs w:val="24"/>
            <w:u w:val="single"/>
          </w:rPr>
          <w:id w:val="-36430945"/>
          <w:placeholder>
            <w:docPart w:val="083B6962BB824A1AB6FF0D25FEC3A996"/>
          </w:placeholder>
          <w:showingPlcHdr/>
          <w:text/>
        </w:sdtPr>
        <w:sdtEndPr/>
        <w:sdtContent>
          <w:r w:rsidR="000E37FD" w:rsidRPr="00E215C8">
            <w:rPr>
              <w:rStyle w:val="PlaceholderText"/>
              <w:rFonts w:eastAsiaTheme="minorHAnsi"/>
              <w:u w:val="single"/>
            </w:rPr>
            <w:t>enter text.</w:t>
          </w:r>
        </w:sdtContent>
      </w:sdt>
    </w:p>
    <w:p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rsidR="00F16A02" w:rsidRDefault="00F16A02" w:rsidP="00B347E8">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t>INCORPORATION OF AGREEMENT</w:t>
      </w:r>
    </w:p>
    <w:p w:rsidR="00D71B72" w:rsidRPr="00DB2413" w:rsidRDefault="00D71B72" w:rsidP="008D4A10">
      <w:pPr>
        <w:pStyle w:val="BodyText"/>
        <w:keepNext/>
        <w:suppressLineNumbers/>
        <w:suppressAutoHyphens/>
        <w:spacing w:after="0"/>
        <w:ind w:right="36"/>
        <w:jc w:val="both"/>
        <w:rPr>
          <w:color w:val="000000" w:themeColor="text1"/>
          <w:sz w:val="24"/>
          <w:szCs w:val="24"/>
        </w:rPr>
      </w:pPr>
    </w:p>
    <w:p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not specifically modified by this Project Agreement shall remain in full force and effect and are incorporated into and made a part of this Project Agreement by this reference as though set forth in full.</w:t>
      </w:r>
    </w:p>
    <w:p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shall be deemed valid and enforceable to the extent permitted by law.</w:t>
      </w:r>
    </w:p>
    <w:p w:rsidR="00D71B72" w:rsidRPr="00DB2413" w:rsidRDefault="00D71B72" w:rsidP="008D4A10">
      <w:pPr>
        <w:pStyle w:val="BodyText"/>
        <w:suppressLineNumbers/>
        <w:tabs>
          <w:tab w:val="left" w:pos="0"/>
        </w:tabs>
        <w:suppressAutoHyphens/>
        <w:ind w:right="36"/>
        <w:jc w:val="both"/>
        <w:rPr>
          <w:color w:val="000000" w:themeColor="text1"/>
          <w:sz w:val="24"/>
          <w:szCs w:val="24"/>
        </w:rPr>
      </w:pPr>
    </w:p>
    <w:p w:rsidR="001876B5" w:rsidRDefault="001876B5">
      <w:pPr>
        <w:spacing w:after="200" w:line="276" w:lineRule="auto"/>
        <w:rPr>
          <w:color w:val="000000" w:themeColor="text1"/>
          <w:sz w:val="24"/>
          <w:szCs w:val="24"/>
        </w:rPr>
      </w:pPr>
      <w:r>
        <w:rPr>
          <w:color w:val="000000" w:themeColor="text1"/>
          <w:sz w:val="24"/>
          <w:szCs w:val="24"/>
        </w:rPr>
        <w:br w:type="page"/>
      </w:r>
    </w:p>
    <w:p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 attested to by its SERVICE AUTHORITY Clerk, duly authorized to execute same and by CONSULTANT by and through its representative, duly authorized to execute same.</w:t>
      </w:r>
    </w:p>
    <w:p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b/>
          <w:color w:val="000000" w:themeColor="text1"/>
          <w:sz w:val="24"/>
          <w:szCs w:val="24"/>
          <w:u w:val="single"/>
        </w:rPr>
        <w:t>SERVICE AUTHORITY</w:t>
      </w:r>
    </w:p>
    <w:p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By: ____________________________</w:t>
      </w:r>
      <w:r w:rsidRPr="00DB2413">
        <w:rPr>
          <w:color w:val="000000" w:themeColor="text1"/>
          <w:sz w:val="24"/>
          <w:szCs w:val="24"/>
        </w:rPr>
        <w:tab/>
      </w:r>
      <w:r w:rsidRPr="00DB2413">
        <w:rPr>
          <w:color w:val="000000" w:themeColor="text1"/>
          <w:sz w:val="24"/>
          <w:szCs w:val="24"/>
        </w:rPr>
        <w:tab/>
        <w:t>By: ___________________________</w:t>
      </w:r>
    </w:p>
    <w:p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p>
    <w:p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DB2413">
        <w:rPr>
          <w:color w:val="000000" w:themeColor="text1"/>
          <w:sz w:val="24"/>
          <w:szCs w:val="24"/>
        </w:rPr>
        <w:t xml:space="preserve">Date__________, </w:t>
      </w:r>
      <w:r w:rsidRPr="00DB2413">
        <w:rPr>
          <w:color w:val="000000" w:themeColor="text1"/>
          <w:sz w:val="24"/>
          <w:szCs w:val="24"/>
          <w:u w:val="single"/>
        </w:rPr>
        <w:t>20</w:t>
      </w:r>
      <w:r w:rsidR="00666286">
        <w:rPr>
          <w:color w:val="000000" w:themeColor="text1"/>
          <w:sz w:val="24"/>
          <w:szCs w:val="24"/>
          <w:u w:val="single"/>
        </w:rPr>
        <w:softHyphen/>
      </w:r>
      <w:r w:rsidR="00666286">
        <w:rPr>
          <w:color w:val="000000" w:themeColor="text1"/>
          <w:sz w:val="24"/>
          <w:szCs w:val="24"/>
          <w:u w:val="single"/>
        </w:rPr>
        <w:softHyphen/>
      </w:r>
      <w:r w:rsidR="00833E3E">
        <w:rPr>
          <w:color w:val="000000" w:themeColor="text1"/>
          <w:sz w:val="24"/>
          <w:szCs w:val="24"/>
          <w:u w:val="single"/>
        </w:rPr>
        <w:t>17</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 xml:space="preserve">Date__________, </w:t>
      </w:r>
      <w:r w:rsidRPr="00DB2413">
        <w:rPr>
          <w:color w:val="000000" w:themeColor="text1"/>
          <w:sz w:val="24"/>
          <w:szCs w:val="24"/>
          <w:u w:val="single"/>
        </w:rPr>
        <w:t>20</w:t>
      </w:r>
      <w:r w:rsidR="00833E3E">
        <w:rPr>
          <w:color w:val="000000" w:themeColor="text1"/>
          <w:sz w:val="24"/>
          <w:szCs w:val="24"/>
          <w:u w:val="single"/>
        </w:rPr>
        <w:t>17</w:t>
      </w:r>
    </w:p>
    <w:p w:rsidR="000E37FD" w:rsidRDefault="000E37FD">
      <w:pPr>
        <w:spacing w:after="200" w:line="276" w:lineRule="auto"/>
        <w:rPr>
          <w:color w:val="000000" w:themeColor="text1"/>
          <w:sz w:val="24"/>
          <w:szCs w:val="24"/>
        </w:rPr>
      </w:pPr>
    </w:p>
    <w:sectPr w:rsidR="000E37FD" w:rsidSect="008D4A10">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CB" w:rsidRDefault="00874DCB">
      <w:r>
        <w:separator/>
      </w:r>
    </w:p>
  </w:endnote>
  <w:endnote w:type="continuationSeparator" w:id="0">
    <w:p w:rsidR="00874DCB" w:rsidRDefault="00874DCB">
      <w:r>
        <w:continuationSeparator/>
      </w:r>
    </w:p>
  </w:endnote>
  <w:endnote w:type="continuationNotice" w:id="1">
    <w:p w:rsidR="00874DCB" w:rsidRDefault="0087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E8" w:rsidRDefault="00836EA7">
    <w:pPr>
      <w:pStyle w:val="Footer"/>
    </w:pPr>
    <w:r>
      <w:t xml:space="preserve">Template Revised/Effective </w:t>
    </w:r>
    <w:r w:rsidR="00C33E41">
      <w:t>1/</w:t>
    </w:r>
    <w:r w:rsidR="00833E3E">
      <w:t>19</w:t>
    </w:r>
    <w:r w:rsidR="00C54F3B">
      <w:t>/201</w:t>
    </w:r>
    <w:r w:rsidR="00833E3E">
      <w:t>7</w:t>
    </w:r>
    <w:r w:rsidR="00C54F3B">
      <w:tab/>
    </w:r>
    <w:r w:rsidR="00C54F3B">
      <w:tab/>
    </w:r>
    <w:r w:rsidR="00C54F3B">
      <w:fldChar w:fldCharType="begin"/>
    </w:r>
    <w:r w:rsidR="00C54F3B">
      <w:instrText xml:space="preserve"> PAGE   \* MERGEFORMAT </w:instrText>
    </w:r>
    <w:r w:rsidR="00C54F3B">
      <w:fldChar w:fldCharType="separate"/>
    </w:r>
    <w:r w:rsidR="00D23DD2">
      <w:rPr>
        <w:noProof/>
      </w:rPr>
      <w:t>8</w:t>
    </w:r>
    <w:r w:rsidR="00C54F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CB" w:rsidRDefault="00874DCB">
      <w:r>
        <w:separator/>
      </w:r>
    </w:p>
  </w:footnote>
  <w:footnote w:type="continuationSeparator" w:id="0">
    <w:p w:rsidR="00874DCB" w:rsidRDefault="00874DCB">
      <w:r>
        <w:continuationSeparator/>
      </w:r>
    </w:p>
  </w:footnote>
  <w:footnote w:type="continuationNotice" w:id="1">
    <w:p w:rsidR="00874DCB" w:rsidRDefault="00874D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72"/>
    <w:rsid w:val="00001C66"/>
    <w:rsid w:val="00002DB4"/>
    <w:rsid w:val="000266D8"/>
    <w:rsid w:val="00027CF8"/>
    <w:rsid w:val="00036DCD"/>
    <w:rsid w:val="00041E45"/>
    <w:rsid w:val="00046E79"/>
    <w:rsid w:val="00074F02"/>
    <w:rsid w:val="00083792"/>
    <w:rsid w:val="00086EAE"/>
    <w:rsid w:val="00087C73"/>
    <w:rsid w:val="000A6FB3"/>
    <w:rsid w:val="000C3BC2"/>
    <w:rsid w:val="000C536B"/>
    <w:rsid w:val="000D2CE4"/>
    <w:rsid w:val="000D2DE5"/>
    <w:rsid w:val="000E0D91"/>
    <w:rsid w:val="000E37FD"/>
    <w:rsid w:val="000F7793"/>
    <w:rsid w:val="000F78AE"/>
    <w:rsid w:val="00110FD0"/>
    <w:rsid w:val="00140C2B"/>
    <w:rsid w:val="0017593C"/>
    <w:rsid w:val="001876B5"/>
    <w:rsid w:val="00191D3E"/>
    <w:rsid w:val="001969CE"/>
    <w:rsid w:val="001C3B2B"/>
    <w:rsid w:val="001C4EB2"/>
    <w:rsid w:val="001C5B4A"/>
    <w:rsid w:val="001E2D51"/>
    <w:rsid w:val="001E4B7C"/>
    <w:rsid w:val="001F0B45"/>
    <w:rsid w:val="001F2975"/>
    <w:rsid w:val="00220064"/>
    <w:rsid w:val="002621AF"/>
    <w:rsid w:val="002718EB"/>
    <w:rsid w:val="00273A68"/>
    <w:rsid w:val="00295ED6"/>
    <w:rsid w:val="002A3237"/>
    <w:rsid w:val="003145E8"/>
    <w:rsid w:val="00314743"/>
    <w:rsid w:val="003220BF"/>
    <w:rsid w:val="0035193E"/>
    <w:rsid w:val="003731B5"/>
    <w:rsid w:val="003B7C4F"/>
    <w:rsid w:val="003C0741"/>
    <w:rsid w:val="003C6291"/>
    <w:rsid w:val="00400012"/>
    <w:rsid w:val="004342B6"/>
    <w:rsid w:val="00451C9A"/>
    <w:rsid w:val="00467ABD"/>
    <w:rsid w:val="0047590C"/>
    <w:rsid w:val="00476389"/>
    <w:rsid w:val="00477E1D"/>
    <w:rsid w:val="00495C37"/>
    <w:rsid w:val="004A609F"/>
    <w:rsid w:val="004B5E88"/>
    <w:rsid w:val="004D160F"/>
    <w:rsid w:val="004F5E2C"/>
    <w:rsid w:val="00546B76"/>
    <w:rsid w:val="00576698"/>
    <w:rsid w:val="005A47D9"/>
    <w:rsid w:val="005A5802"/>
    <w:rsid w:val="005B4EAD"/>
    <w:rsid w:val="005B7893"/>
    <w:rsid w:val="005C6803"/>
    <w:rsid w:val="005C6E40"/>
    <w:rsid w:val="005E2D77"/>
    <w:rsid w:val="005E5F53"/>
    <w:rsid w:val="00611B11"/>
    <w:rsid w:val="00621197"/>
    <w:rsid w:val="00636304"/>
    <w:rsid w:val="006407B0"/>
    <w:rsid w:val="00644802"/>
    <w:rsid w:val="006523F0"/>
    <w:rsid w:val="006552C1"/>
    <w:rsid w:val="0066026E"/>
    <w:rsid w:val="0066582E"/>
    <w:rsid w:val="00666286"/>
    <w:rsid w:val="00681AE5"/>
    <w:rsid w:val="00686BAF"/>
    <w:rsid w:val="00693458"/>
    <w:rsid w:val="006B59B2"/>
    <w:rsid w:val="006F022C"/>
    <w:rsid w:val="006F4234"/>
    <w:rsid w:val="00702F72"/>
    <w:rsid w:val="00732297"/>
    <w:rsid w:val="007422AF"/>
    <w:rsid w:val="00742875"/>
    <w:rsid w:val="00742B39"/>
    <w:rsid w:val="00770679"/>
    <w:rsid w:val="00770B7D"/>
    <w:rsid w:val="00773AA8"/>
    <w:rsid w:val="0077637C"/>
    <w:rsid w:val="00797CC6"/>
    <w:rsid w:val="007C5AE6"/>
    <w:rsid w:val="007E585E"/>
    <w:rsid w:val="0080696B"/>
    <w:rsid w:val="00810E56"/>
    <w:rsid w:val="00817DAC"/>
    <w:rsid w:val="00827CD6"/>
    <w:rsid w:val="00831E68"/>
    <w:rsid w:val="00833E3E"/>
    <w:rsid w:val="008369C3"/>
    <w:rsid w:val="00836EA7"/>
    <w:rsid w:val="00867D0C"/>
    <w:rsid w:val="00867EE6"/>
    <w:rsid w:val="00870288"/>
    <w:rsid w:val="00874DCB"/>
    <w:rsid w:val="00882D9A"/>
    <w:rsid w:val="00887FED"/>
    <w:rsid w:val="0089215B"/>
    <w:rsid w:val="008A1DFD"/>
    <w:rsid w:val="008C5E0F"/>
    <w:rsid w:val="008C76FE"/>
    <w:rsid w:val="008D4A10"/>
    <w:rsid w:val="008E5C12"/>
    <w:rsid w:val="008F57D2"/>
    <w:rsid w:val="0094734B"/>
    <w:rsid w:val="009500FD"/>
    <w:rsid w:val="0097668D"/>
    <w:rsid w:val="009806C2"/>
    <w:rsid w:val="009819FF"/>
    <w:rsid w:val="00982B62"/>
    <w:rsid w:val="00982E0B"/>
    <w:rsid w:val="00983FCC"/>
    <w:rsid w:val="00985A0C"/>
    <w:rsid w:val="009929BE"/>
    <w:rsid w:val="009962F0"/>
    <w:rsid w:val="009C0226"/>
    <w:rsid w:val="009C7867"/>
    <w:rsid w:val="009F3639"/>
    <w:rsid w:val="009F5CBB"/>
    <w:rsid w:val="00A00EAE"/>
    <w:rsid w:val="00A037EB"/>
    <w:rsid w:val="00A3329D"/>
    <w:rsid w:val="00A53418"/>
    <w:rsid w:val="00A837D0"/>
    <w:rsid w:val="00AA5EFF"/>
    <w:rsid w:val="00AB3329"/>
    <w:rsid w:val="00AC3DED"/>
    <w:rsid w:val="00AE3BE5"/>
    <w:rsid w:val="00AE503B"/>
    <w:rsid w:val="00AF7EA7"/>
    <w:rsid w:val="00B073D9"/>
    <w:rsid w:val="00B347E8"/>
    <w:rsid w:val="00B56562"/>
    <w:rsid w:val="00B62D3A"/>
    <w:rsid w:val="00B73EE1"/>
    <w:rsid w:val="00B741FA"/>
    <w:rsid w:val="00B75DC0"/>
    <w:rsid w:val="00BA6C0C"/>
    <w:rsid w:val="00BE0990"/>
    <w:rsid w:val="00BF1BBF"/>
    <w:rsid w:val="00BF1C46"/>
    <w:rsid w:val="00BF7A8D"/>
    <w:rsid w:val="00C02910"/>
    <w:rsid w:val="00C14254"/>
    <w:rsid w:val="00C15D8A"/>
    <w:rsid w:val="00C33E41"/>
    <w:rsid w:val="00C35BC8"/>
    <w:rsid w:val="00C41575"/>
    <w:rsid w:val="00C47E8A"/>
    <w:rsid w:val="00C54F3B"/>
    <w:rsid w:val="00C94DE1"/>
    <w:rsid w:val="00C95F5E"/>
    <w:rsid w:val="00C97FB2"/>
    <w:rsid w:val="00CD2523"/>
    <w:rsid w:val="00CE11AB"/>
    <w:rsid w:val="00CE207B"/>
    <w:rsid w:val="00D17415"/>
    <w:rsid w:val="00D1765E"/>
    <w:rsid w:val="00D23DD2"/>
    <w:rsid w:val="00D33926"/>
    <w:rsid w:val="00D37BD0"/>
    <w:rsid w:val="00D4162F"/>
    <w:rsid w:val="00D4779C"/>
    <w:rsid w:val="00D6372A"/>
    <w:rsid w:val="00D71B72"/>
    <w:rsid w:val="00D84DC5"/>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77754"/>
    <w:rsid w:val="00E84F15"/>
    <w:rsid w:val="00E90686"/>
    <w:rsid w:val="00E913EA"/>
    <w:rsid w:val="00EB78F3"/>
    <w:rsid w:val="00EC09DF"/>
    <w:rsid w:val="00ED66D2"/>
    <w:rsid w:val="00F12F01"/>
    <w:rsid w:val="00F155A7"/>
    <w:rsid w:val="00F16991"/>
    <w:rsid w:val="00F16A02"/>
    <w:rsid w:val="00F24296"/>
    <w:rsid w:val="00F35F0B"/>
    <w:rsid w:val="00F46777"/>
    <w:rsid w:val="00F63F58"/>
    <w:rsid w:val="00FB488B"/>
    <w:rsid w:val="00FD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259CE9EA78014DA2A7B92951712DDF73"/>
        <w:category>
          <w:name w:val="General"/>
          <w:gallery w:val="placeholder"/>
        </w:category>
        <w:types>
          <w:type w:val="bbPlcHdr"/>
        </w:types>
        <w:behaviors>
          <w:behavior w:val="content"/>
        </w:behaviors>
        <w:guid w:val="{03511317-B57A-44C6-8439-757202A5C7A3}"/>
      </w:docPartPr>
      <w:docPartBody>
        <w:p w:rsidR="00DE1DB4" w:rsidRDefault="004E1D05" w:rsidP="004E1D05">
          <w:pPr>
            <w:pStyle w:val="259CE9EA78014DA2A7B92951712DDF73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E309ACE664F446FA80DD85C817746E16"/>
        <w:category>
          <w:name w:val="General"/>
          <w:gallery w:val="placeholder"/>
        </w:category>
        <w:types>
          <w:type w:val="bbPlcHdr"/>
        </w:types>
        <w:behaviors>
          <w:behavior w:val="content"/>
        </w:behaviors>
        <w:guid w:val="{D9776AD0-C39B-4FF4-998A-4475323C5DE5}"/>
      </w:docPartPr>
      <w:docPartBody>
        <w:p w:rsidR="00DE1DB4" w:rsidRDefault="004E1D05" w:rsidP="004E1D05">
          <w:pPr>
            <w:pStyle w:val="E309ACE664F446FA80DD85C817746E1653"/>
          </w:pPr>
          <w:r w:rsidRPr="00D84DC5">
            <w:rPr>
              <w:rStyle w:val="PlaceholderText"/>
              <w:rFonts w:eastAsiaTheme="minorHAnsi"/>
              <w:sz w:val="24"/>
              <w:szCs w:val="24"/>
              <w:u w:val="single"/>
            </w:rPr>
            <w:t>enter amount</w:t>
          </w:r>
        </w:p>
      </w:docPartBody>
    </w:docPart>
    <w:docPart>
      <w:docPartPr>
        <w:name w:val="0222A72003E940BB907973A88720B690"/>
        <w:category>
          <w:name w:val="General"/>
          <w:gallery w:val="placeholder"/>
        </w:category>
        <w:types>
          <w:type w:val="bbPlcHdr"/>
        </w:types>
        <w:behaviors>
          <w:behavior w:val="content"/>
        </w:behaviors>
        <w:guid w:val="{141C0B5D-30F0-4AB7-9872-E0B7E1299F77}"/>
      </w:docPartPr>
      <w:docPartBody>
        <w:p w:rsidR="00DE1DB4" w:rsidRDefault="004E1D05" w:rsidP="004E1D05">
          <w:pPr>
            <w:pStyle w:val="0222A72003E940BB907973A88720B69053"/>
          </w:pPr>
          <w:r w:rsidRPr="00D84DC5">
            <w:rPr>
              <w:rStyle w:val="PlaceholderText"/>
              <w:rFonts w:eastAsiaTheme="minorHAnsi"/>
              <w:sz w:val="24"/>
              <w:szCs w:val="24"/>
              <w:u w:val="single"/>
            </w:rPr>
            <w:t>enter amount.</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B7B465AAF15147D1A1709408622C0570"/>
        <w:category>
          <w:name w:val="General"/>
          <w:gallery w:val="placeholder"/>
        </w:category>
        <w:types>
          <w:type w:val="bbPlcHdr"/>
        </w:types>
        <w:behaviors>
          <w:behavior w:val="content"/>
        </w:behaviors>
        <w:guid w:val="{24C5DBFE-42F3-4132-A979-845AB924017D}"/>
      </w:docPartPr>
      <w:docPartBody>
        <w:p w:rsidR="00F87306" w:rsidRDefault="004E1D05" w:rsidP="004E1D05">
          <w:pPr>
            <w:pStyle w:val="B7B465AAF15147D1A1709408622C057038"/>
          </w:pPr>
          <w:r w:rsidRPr="00E215C8">
            <w:rPr>
              <w:rStyle w:val="PlaceholderText"/>
              <w:rFonts w:eastAsiaTheme="minorHAnsi"/>
              <w:u w:val="single"/>
            </w:rPr>
            <w:t>enter text.</w:t>
          </w:r>
        </w:p>
      </w:docPartBody>
    </w:docPart>
    <w:docPart>
      <w:docPartPr>
        <w:name w:val="681E045295334B57B5441D63FA4A3BF4"/>
        <w:category>
          <w:name w:val="General"/>
          <w:gallery w:val="placeholder"/>
        </w:category>
        <w:types>
          <w:type w:val="bbPlcHdr"/>
        </w:types>
        <w:behaviors>
          <w:behavior w:val="content"/>
        </w:behaviors>
        <w:guid w:val="{55BA079A-1CC8-4905-8226-F6EC9F4F3E46}"/>
      </w:docPartPr>
      <w:docPartBody>
        <w:p w:rsidR="00F87306" w:rsidRDefault="004E1D05" w:rsidP="004E1D05">
          <w:pPr>
            <w:pStyle w:val="681E045295334B57B5441D63FA4A3BF4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D7FFF0CD2DB24F06A937B86F14F2FE96"/>
        <w:category>
          <w:name w:val="General"/>
          <w:gallery w:val="placeholder"/>
        </w:category>
        <w:types>
          <w:type w:val="bbPlcHdr"/>
        </w:types>
        <w:behaviors>
          <w:behavior w:val="content"/>
        </w:behaviors>
        <w:guid w:val="{E6B2BC5E-9049-4145-8EA0-25E562EEC132}"/>
      </w:docPartPr>
      <w:docPartBody>
        <w:p w:rsidR="00F87306" w:rsidRDefault="004E1D05" w:rsidP="004E1D05">
          <w:pPr>
            <w:pStyle w:val="D7FFF0CD2DB24F06A937B86F14F2FE9638"/>
          </w:pPr>
          <w:r w:rsidRPr="00E215C8">
            <w:rPr>
              <w:rStyle w:val="PlaceholderText"/>
              <w:rFonts w:eastAsiaTheme="minorHAnsi"/>
              <w:u w:val="single"/>
            </w:rPr>
            <w:t>enter text.</w:t>
          </w:r>
        </w:p>
      </w:docPartBody>
    </w:docPart>
    <w:docPart>
      <w:docPartPr>
        <w:name w:val="083B6962BB824A1AB6FF0D25FEC3A996"/>
        <w:category>
          <w:name w:val="General"/>
          <w:gallery w:val="placeholder"/>
        </w:category>
        <w:types>
          <w:type w:val="bbPlcHdr"/>
        </w:types>
        <w:behaviors>
          <w:behavior w:val="content"/>
        </w:behaviors>
        <w:guid w:val="{DB93ED11-1B51-49C4-AE3A-E11B159D4972}"/>
      </w:docPartPr>
      <w:docPartBody>
        <w:p w:rsidR="00F87306" w:rsidRDefault="004E1D05" w:rsidP="004E1D05">
          <w:pPr>
            <w:pStyle w:val="083B6962BB824A1AB6FF0D25FEC3A996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A5FB8"/>
    <w:rsid w:val="002D0AA5"/>
    <w:rsid w:val="002E65A0"/>
    <w:rsid w:val="00377F10"/>
    <w:rsid w:val="003803C4"/>
    <w:rsid w:val="003960AC"/>
    <w:rsid w:val="00410F73"/>
    <w:rsid w:val="0041110C"/>
    <w:rsid w:val="00415131"/>
    <w:rsid w:val="00431FA8"/>
    <w:rsid w:val="0047138E"/>
    <w:rsid w:val="004840A0"/>
    <w:rsid w:val="004B29DF"/>
    <w:rsid w:val="004B69FA"/>
    <w:rsid w:val="004B7A82"/>
    <w:rsid w:val="004E1D05"/>
    <w:rsid w:val="00553042"/>
    <w:rsid w:val="005663E0"/>
    <w:rsid w:val="00614732"/>
    <w:rsid w:val="0066279F"/>
    <w:rsid w:val="00681EA2"/>
    <w:rsid w:val="00693BFA"/>
    <w:rsid w:val="006D7606"/>
    <w:rsid w:val="00710BA2"/>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B3886"/>
    <w:rsid w:val="00DB746D"/>
    <w:rsid w:val="00DD3ECD"/>
    <w:rsid w:val="00DE1DB4"/>
    <w:rsid w:val="00DF4363"/>
    <w:rsid w:val="00E06DF9"/>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numPr>
        <w:numId w:val="1"/>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numPr>
        <w:numId w:val="2"/>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numPr>
        <w:numId w:val="3"/>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numPr>
        <w:numId w:val="4"/>
      </w:numPr>
      <w:tabs>
        <w:tab w:val="clear" w:pos="36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C8EC-7322-44E7-A5C1-189F3F89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Teresa Clancy</cp:lastModifiedBy>
  <cp:revision>2</cp:revision>
  <cp:lastPrinted>2015-12-07T16:12:00Z</cp:lastPrinted>
  <dcterms:created xsi:type="dcterms:W3CDTF">2017-01-19T16:48:00Z</dcterms:created>
  <dcterms:modified xsi:type="dcterms:W3CDTF">2017-01-19T16:48:00Z</dcterms:modified>
</cp:coreProperties>
</file>